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41F8">
      <w:pPr>
        <w:spacing w:after="240"/>
        <w:jc w:val="right"/>
      </w:pPr>
      <w:bookmarkStart w:id="0" w:name="_GoBack"/>
      <w:bookmarkEnd w:id="0"/>
      <w:r>
        <w:t xml:space="preserve">Приложение № </w:t>
      </w:r>
      <w:r>
        <w:rPr>
          <w:lang w:val="en-US"/>
        </w:rPr>
        <w:t>7</w:t>
      </w:r>
      <w:r>
        <w:br/>
        <w:t>к Правилам разработки и применения</w:t>
      </w:r>
      <w:r>
        <w:br/>
        <w:t>графиков аварийного огр</w:t>
      </w:r>
      <w:r>
        <w:t>аничения</w:t>
      </w:r>
      <w:r>
        <w:rPr>
          <w:lang w:val="en-US"/>
        </w:rPr>
        <w:br/>
      </w:r>
      <w:r>
        <w:t>режима</w:t>
      </w:r>
      <w:r>
        <w:rPr>
          <w:lang w:val="en-US"/>
        </w:rPr>
        <w:t xml:space="preserve"> </w:t>
      </w:r>
      <w:r>
        <w:t>потребления электрической</w:t>
      </w:r>
      <w:r>
        <w:rPr>
          <w:lang w:val="en-US"/>
        </w:rPr>
        <w:br/>
      </w:r>
      <w:r>
        <w:t>энергии</w:t>
      </w:r>
      <w:r>
        <w:rPr>
          <w:lang w:val="en-US"/>
        </w:rPr>
        <w:t xml:space="preserve"> (</w:t>
      </w:r>
      <w:r>
        <w:t>мощности) и использования</w:t>
      </w:r>
      <w:r>
        <w:br/>
        <w:t>противоаварийной автоматики</w:t>
      </w:r>
    </w:p>
    <w:p w:rsidR="00000000" w:rsidRDefault="00BC41F8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(рекомендуемый образец)</w:t>
      </w:r>
    </w:p>
    <w:p w:rsidR="00000000" w:rsidRDefault="00BC41F8">
      <w:pPr>
        <w:spacing w:after="360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АКТ</w:t>
      </w:r>
      <w:r>
        <w:rPr>
          <w:sz w:val="26"/>
          <w:szCs w:val="26"/>
          <w:lang w:val="en-US"/>
        </w:rPr>
        <w:br/>
      </w:r>
      <w:r>
        <w:rPr>
          <w:sz w:val="26"/>
          <w:szCs w:val="26"/>
        </w:rPr>
        <w:t xml:space="preserve">согласования технологической и (или) аварийной брони </w:t>
      </w:r>
      <w:r>
        <w:rPr>
          <w:sz w:val="26"/>
          <w:szCs w:val="26"/>
          <w:lang w:val="en-US"/>
        </w:rPr>
        <w:br/>
      </w:r>
      <w:r>
        <w:rPr>
          <w:sz w:val="26"/>
          <w:szCs w:val="26"/>
        </w:rPr>
        <w:t>электроснабжения потребителя электрической</w:t>
      </w:r>
      <w:r>
        <w:rPr>
          <w:sz w:val="26"/>
          <w:szCs w:val="26"/>
        </w:rPr>
        <w:br/>
        <w:t>энергии (мощности)</w:t>
      </w:r>
    </w:p>
    <w:p w:rsidR="00000000" w:rsidRDefault="00BC41F8">
      <w:pPr>
        <w:rPr>
          <w:sz w:val="24"/>
          <w:szCs w:val="24"/>
        </w:rPr>
      </w:pPr>
      <w:r>
        <w:rPr>
          <w:sz w:val="24"/>
          <w:szCs w:val="24"/>
        </w:rPr>
        <w:t>Утвержд</w:t>
      </w:r>
      <w:r>
        <w:rPr>
          <w:sz w:val="24"/>
          <w:szCs w:val="24"/>
        </w:rPr>
        <w:t>аю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420"/>
        <w:gridCol w:w="142"/>
        <w:gridCol w:w="2266"/>
        <w:gridCol w:w="2126"/>
        <w:gridCol w:w="1417"/>
        <w:gridCol w:w="142"/>
        <w:gridCol w:w="2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потребителя электрической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1F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сетевой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1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41F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1F8">
            <w:pPr>
              <w:jc w:val="center"/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1F8">
            <w:pPr>
              <w:jc w:val="center"/>
            </w:pPr>
            <w:r>
              <w:t>(Ф.И.О.)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1F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1F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1F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1F8">
            <w:pPr>
              <w:jc w:val="center"/>
            </w:pPr>
            <w:r>
              <w:t>(Ф.И.О.)</w:t>
            </w:r>
          </w:p>
        </w:tc>
      </w:tr>
    </w:tbl>
    <w:p w:rsidR="00000000" w:rsidRDefault="00BC41F8">
      <w:pPr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2155"/>
        <w:gridCol w:w="397"/>
        <w:gridCol w:w="369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41F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BC41F8">
      <w:pPr>
        <w:rPr>
          <w:sz w:val="24"/>
          <w:szCs w:val="24"/>
          <w:lang w:val="en-US"/>
        </w:rPr>
      </w:pPr>
    </w:p>
    <w:p w:rsidR="00000000" w:rsidRDefault="00BC41F8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 xml:space="preserve">I. </w:t>
      </w:r>
      <w:r>
        <w:rPr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4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Наименование и местонахождение организации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энергопринимающих ус</w:t>
            </w:r>
            <w:r>
              <w:rPr>
                <w:sz w:val="24"/>
                <w:szCs w:val="24"/>
              </w:rPr>
              <w:t>тройств, подключенных к токоприемникам технологической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энергопринимающих устройств, подключенных к токо</w:t>
            </w:r>
            <w:r>
              <w:rPr>
                <w:sz w:val="24"/>
                <w:szCs w:val="24"/>
              </w:rPr>
              <w:t>приемникам аварийной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Номер и дата заключения договора оказания услуг по передаче электрической энергии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</w:t>
            </w:r>
            <w:r>
              <w:rPr>
                <w:sz w:val="24"/>
                <w:szCs w:val="24"/>
              </w:rPr>
              <w:t>ктная информация (фамилия, имя, отчество и телефон):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организации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технического руководителя (главного инженера) организации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ответственного за электрохозяйство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дежурного работника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дежурного по подстанции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Сменность работы потре</w:t>
            </w:r>
            <w:r>
              <w:rPr>
                <w:sz w:val="24"/>
                <w:szCs w:val="24"/>
              </w:rPr>
              <w:t>бителя (фактическая)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Нагрузка, тыс. кВт: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замеру в зимний период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замеру в летний период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Суточное электропотребление, тыс. кВт</w:t>
            </w:r>
            <w:r>
              <w:rPr>
                <w:sz w:val="24"/>
                <w:szCs w:val="24"/>
                <w:lang w:val="en-US"/>
              </w:rPr>
              <w:t>·</w:t>
            </w:r>
            <w:r>
              <w:rPr>
                <w:sz w:val="24"/>
                <w:szCs w:val="24"/>
              </w:rPr>
              <w:t>ч: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замеру в зимний период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замеру в летний период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электрической энергии (мощности) в</w:t>
            </w:r>
            <w:r>
              <w:rPr>
                <w:sz w:val="24"/>
                <w:szCs w:val="24"/>
              </w:rPr>
              <w:t xml:space="preserve"> нерабочие (праздничные) дни, тыс. кВт</w:t>
            </w:r>
            <w:r>
              <w:rPr>
                <w:sz w:val="24"/>
                <w:szCs w:val="24"/>
                <w:lang w:val="en-US"/>
              </w:rPr>
              <w:t>·</w:t>
            </w:r>
            <w:r>
              <w:rPr>
                <w:sz w:val="24"/>
                <w:szCs w:val="24"/>
              </w:rPr>
              <w:t>ч: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аварийной брони электроснабжения, тыс. кВт: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</w:t>
            </w: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токоприемников, имеющих аварийную броню электроснабжения, не уча</w:t>
            </w:r>
            <w:r>
              <w:rPr>
                <w:sz w:val="24"/>
                <w:szCs w:val="24"/>
              </w:rPr>
              <w:t>ствующая в работе потребителя в нормальном режиме, тыс. кВт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токоприемников, имеющих технологическую броню электроснабжения, тыс. кВт: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C4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61" w:type="dxa"/>
          </w:tcPr>
          <w:p w:rsidR="00000000" w:rsidRDefault="00BC41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средств дистанционного управления</w:t>
            </w:r>
          </w:p>
        </w:tc>
        <w:tc>
          <w:tcPr>
            <w:tcW w:w="4423" w:type="dxa"/>
          </w:tcPr>
          <w:p w:rsidR="00000000" w:rsidRDefault="00BC41F8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</w:tbl>
    <w:p w:rsidR="00000000" w:rsidRDefault="00BC41F8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настоящему акту прилага</w:t>
      </w:r>
      <w:r>
        <w:rPr>
          <w:sz w:val="24"/>
          <w:szCs w:val="24"/>
        </w:rPr>
        <w:t>ется принципиальная однолинейная электрическая схема электроснабжения объекта (объектов) потребителя в нормальном режиме с указанием:</w:t>
      </w:r>
    </w:p>
    <w:p w:rsidR="00000000" w:rsidRDefault="00BC41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границ эксплуатационной ответственности между потребителем и сетевой организацией;</w:t>
      </w:r>
    </w:p>
    <w:p w:rsidR="00000000" w:rsidRDefault="00BC41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линий электропередачи и оборудова</w:t>
      </w:r>
      <w:r>
        <w:rPr>
          <w:sz w:val="24"/>
          <w:szCs w:val="24"/>
        </w:rPr>
        <w:t>ния, по которым осуществляется внешнее электроснабжение электроустановок потребителя, с указанием их диспетчерских наименований и длительно допустимых токовых нагрузок;</w:t>
      </w:r>
    </w:p>
    <w:p w:rsidR="00000000" w:rsidRDefault="00BC41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 линии электропередачи и оборудование (с указанием их диспетчерских наименований и дл</w:t>
      </w:r>
      <w:r>
        <w:rPr>
          <w:sz w:val="24"/>
          <w:szCs w:val="24"/>
        </w:rPr>
        <w:t>ительно допустимых токовых нагрузок), образующие схему внутреннего электроснабжения электроустановок потребителя, по которым возможно резервирование электроснабжения электроустановок потребителя от внешних источников электроснабжения;</w:t>
      </w:r>
    </w:p>
    <w:p w:rsidR="00000000" w:rsidRDefault="00BC41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 нормальное положен</w:t>
      </w:r>
      <w:r>
        <w:rPr>
          <w:sz w:val="24"/>
          <w:szCs w:val="24"/>
        </w:rPr>
        <w:t>ие коммутационных аппаратов (включено, отключено), посредством которых возможно изменение электрических схем внутреннего и внешнего электроснабжения;</w:t>
      </w:r>
    </w:p>
    <w:p w:rsidR="00000000" w:rsidRDefault="00BC41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 наличие устройств автоматического включения резерва (с указанием одностороннего или двустороннего его д</w:t>
      </w:r>
      <w:r>
        <w:rPr>
          <w:sz w:val="24"/>
          <w:szCs w:val="24"/>
        </w:rPr>
        <w:t>ействия);</w:t>
      </w:r>
    </w:p>
    <w:p w:rsidR="00000000" w:rsidRDefault="00BC41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е) токоприемников технологической и (или) аварийной брони электроснабжения потребителя.</w:t>
      </w:r>
    </w:p>
    <w:p w:rsidR="00000000" w:rsidRDefault="00BC41F8">
      <w:pPr>
        <w:rPr>
          <w:sz w:val="24"/>
          <w:szCs w:val="24"/>
          <w:lang w:val="en-US"/>
        </w:rPr>
      </w:pPr>
    </w:p>
    <w:p w:rsidR="00000000" w:rsidRDefault="00BC41F8">
      <w:pPr>
        <w:rPr>
          <w:sz w:val="24"/>
          <w:szCs w:val="24"/>
          <w:lang w:val="en-US"/>
        </w:rPr>
      </w:pPr>
    </w:p>
    <w:p w:rsidR="00000000" w:rsidRDefault="00BC41F8">
      <w:pPr>
        <w:rPr>
          <w:sz w:val="24"/>
          <w:szCs w:val="24"/>
          <w:lang w:val="en-US"/>
        </w:rPr>
        <w:sectPr w:rsidR="00000000">
          <w:headerReference w:type="default" r:id="rId6"/>
          <w:type w:val="oddPage"/>
          <w:pgSz w:w="11907" w:h="16840" w:code="9"/>
          <w:pgMar w:top="851" w:right="851" w:bottom="567" w:left="1134" w:header="397" w:footer="397" w:gutter="0"/>
          <w:cols w:space="709"/>
        </w:sectPr>
      </w:pPr>
    </w:p>
    <w:p w:rsidR="00000000" w:rsidRDefault="00BC41F8">
      <w:pPr>
        <w:pageBreakBefore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ТЕХНИЧЕСКИЕ ХАРАКТЕРИСТИКИ</w:t>
      </w:r>
      <w:r>
        <w:rPr>
          <w:sz w:val="24"/>
          <w:szCs w:val="24"/>
        </w:rPr>
        <w:br/>
        <w:t>ЭЛЕКТРОСНАБЖЕНИЯ ПОТРЕБИТЕЛЯ</w:t>
      </w:r>
    </w:p>
    <w:p w:rsidR="00000000" w:rsidRDefault="00BC41F8">
      <w:pPr>
        <w:spacing w:before="360" w:after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Часть </w:t>
      </w:r>
      <w:r>
        <w:rPr>
          <w:sz w:val="24"/>
          <w:szCs w:val="24"/>
          <w:lang w:val="en-US"/>
        </w:rPr>
        <w:t xml:space="preserve">I. </w:t>
      </w:r>
      <w:r>
        <w:rPr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559"/>
        <w:gridCol w:w="1000"/>
        <w:gridCol w:w="1551"/>
        <w:gridCol w:w="992"/>
        <w:gridCol w:w="1560"/>
        <w:gridCol w:w="1135"/>
        <w:gridCol w:w="1558"/>
        <w:gridCol w:w="992"/>
        <w:gridCol w:w="1276"/>
        <w:gridCol w:w="17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softHyphen/>
              <w:t>вание (номер) питающего центр</w:t>
            </w:r>
            <w:r>
              <w:rPr>
                <w:sz w:val="22"/>
                <w:szCs w:val="22"/>
              </w:rPr>
              <w:t>а  сетевой организации и других источников электро</w:t>
            </w:r>
            <w:r>
              <w:rPr>
                <w:sz w:val="22"/>
                <w:szCs w:val="22"/>
              </w:rPr>
              <w:softHyphen/>
              <w:t>снабжения</w:t>
            </w:r>
          </w:p>
        </w:tc>
        <w:tc>
          <w:tcPr>
            <w:tcW w:w="1559" w:type="dxa"/>
            <w:vMerge w:val="restart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(номер) питающей линии сетевой организации и других источников электро</w:t>
            </w:r>
            <w:r>
              <w:rPr>
                <w:sz w:val="22"/>
                <w:szCs w:val="22"/>
              </w:rPr>
              <w:softHyphen/>
              <w:t>снабжения</w:t>
            </w:r>
          </w:p>
        </w:tc>
        <w:tc>
          <w:tcPr>
            <w:tcW w:w="1000" w:type="dxa"/>
            <w:vMerge w:val="restart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Нагрузка линии в нормаль</w:t>
            </w:r>
            <w:r>
              <w:rPr>
                <w:sz w:val="22"/>
                <w:szCs w:val="22"/>
              </w:rPr>
              <w:softHyphen/>
              <w:t>ном режиме работы, кВт</w:t>
            </w:r>
          </w:p>
        </w:tc>
        <w:tc>
          <w:tcPr>
            <w:tcW w:w="5238" w:type="dxa"/>
            <w:gridSpan w:val="4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Аварийная броня электроснабжения</w:t>
            </w:r>
          </w:p>
        </w:tc>
        <w:tc>
          <w:tcPr>
            <w:tcW w:w="5528" w:type="dxa"/>
            <w:gridSpan w:val="4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Технологическая брон</w:t>
            </w:r>
            <w:r>
              <w:rPr>
                <w:sz w:val="22"/>
                <w:szCs w:val="22"/>
              </w:rPr>
              <w:t>я электроснабжения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токо</w:t>
            </w:r>
            <w:r>
              <w:rPr>
                <w:sz w:val="22"/>
                <w:szCs w:val="22"/>
              </w:rPr>
              <w:softHyphen/>
              <w:t>прием</w:t>
            </w:r>
            <w:r>
              <w:rPr>
                <w:sz w:val="22"/>
                <w:szCs w:val="22"/>
              </w:rPr>
              <w:softHyphen/>
              <w:t>ников аварийной брони</w:t>
            </w:r>
          </w:p>
        </w:tc>
        <w:tc>
          <w:tcPr>
            <w:tcW w:w="992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</w:t>
            </w:r>
            <w:r>
              <w:rPr>
                <w:sz w:val="22"/>
                <w:szCs w:val="22"/>
              </w:rPr>
              <w:softHyphen/>
              <w:t>ность токопри</w:t>
            </w:r>
            <w:r>
              <w:rPr>
                <w:sz w:val="22"/>
                <w:szCs w:val="22"/>
              </w:rPr>
              <w:softHyphen/>
              <w:t>емни</w:t>
            </w:r>
            <w:r>
              <w:rPr>
                <w:sz w:val="22"/>
                <w:szCs w:val="22"/>
              </w:rPr>
              <w:softHyphen/>
              <w:t>ков аварий</w:t>
            </w:r>
            <w:r>
              <w:rPr>
                <w:sz w:val="22"/>
                <w:szCs w:val="22"/>
              </w:rPr>
              <w:softHyphen/>
              <w:t>ной брони, кВт</w:t>
            </w:r>
          </w:p>
        </w:tc>
        <w:tc>
          <w:tcPr>
            <w:tcW w:w="1560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Линии, на которые может быть переклю</w:t>
            </w:r>
            <w:r>
              <w:rPr>
                <w:sz w:val="22"/>
                <w:szCs w:val="22"/>
              </w:rPr>
              <w:softHyphen/>
              <w:t>чена нагрузка, и средства переклю</w:t>
            </w:r>
            <w:r>
              <w:rPr>
                <w:sz w:val="22"/>
                <w:szCs w:val="22"/>
              </w:rPr>
              <w:softHyphen/>
              <w:t>чения (устрой</w:t>
            </w:r>
            <w:r>
              <w:rPr>
                <w:sz w:val="22"/>
                <w:szCs w:val="22"/>
              </w:rPr>
              <w:softHyphen/>
              <w:t>ства автома</w:t>
            </w:r>
            <w:r>
              <w:rPr>
                <w:sz w:val="22"/>
                <w:szCs w:val="22"/>
              </w:rPr>
              <w:softHyphen/>
              <w:t>тичес</w:t>
            </w:r>
            <w:r>
              <w:rPr>
                <w:sz w:val="22"/>
                <w:szCs w:val="22"/>
              </w:rPr>
              <w:softHyphen/>
              <w:t>кого вклю</w:t>
            </w:r>
            <w:r>
              <w:rPr>
                <w:sz w:val="22"/>
                <w:szCs w:val="22"/>
              </w:rPr>
              <w:softHyphen/>
              <w:t xml:space="preserve">чения резерва </w:t>
            </w:r>
            <w:r>
              <w:rPr>
                <w:sz w:val="22"/>
                <w:szCs w:val="22"/>
              </w:rPr>
              <w:t>или вручную)</w:t>
            </w:r>
          </w:p>
        </w:tc>
        <w:tc>
          <w:tcPr>
            <w:tcW w:w="1135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сокраще</w:t>
            </w:r>
            <w:r>
              <w:rPr>
                <w:sz w:val="22"/>
                <w:szCs w:val="22"/>
              </w:rPr>
              <w:softHyphen/>
              <w:t>ния электро</w:t>
            </w:r>
            <w:r>
              <w:rPr>
                <w:sz w:val="22"/>
                <w:szCs w:val="22"/>
              </w:rPr>
              <w:softHyphen/>
              <w:t>снабжения до уровня аварийной брони</w:t>
            </w:r>
          </w:p>
        </w:tc>
        <w:tc>
          <w:tcPr>
            <w:tcW w:w="1558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токоприем</w:t>
            </w:r>
            <w:r>
              <w:rPr>
                <w:sz w:val="22"/>
                <w:szCs w:val="22"/>
              </w:rPr>
              <w:softHyphen/>
              <w:t>ников технологи</w:t>
            </w:r>
            <w:r>
              <w:rPr>
                <w:sz w:val="22"/>
                <w:szCs w:val="22"/>
              </w:rPr>
              <w:softHyphen/>
              <w:t>ческой брони</w:t>
            </w:r>
          </w:p>
        </w:tc>
        <w:tc>
          <w:tcPr>
            <w:tcW w:w="992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</w:t>
            </w:r>
            <w:r>
              <w:rPr>
                <w:sz w:val="22"/>
                <w:szCs w:val="22"/>
              </w:rPr>
              <w:softHyphen/>
              <w:t>ность токопри</w:t>
            </w:r>
            <w:r>
              <w:rPr>
                <w:sz w:val="22"/>
                <w:szCs w:val="22"/>
              </w:rPr>
              <w:softHyphen/>
              <w:t>емни</w:t>
            </w:r>
            <w:r>
              <w:rPr>
                <w:sz w:val="22"/>
                <w:szCs w:val="22"/>
              </w:rPr>
              <w:softHyphen/>
              <w:t>ков техноло</w:t>
            </w:r>
            <w:r>
              <w:rPr>
                <w:sz w:val="22"/>
                <w:szCs w:val="22"/>
              </w:rPr>
              <w:softHyphen/>
              <w:t>гичес</w:t>
            </w:r>
            <w:r>
              <w:rPr>
                <w:sz w:val="22"/>
                <w:szCs w:val="22"/>
              </w:rPr>
              <w:softHyphen/>
              <w:t>кой брони, кВт</w:t>
            </w:r>
          </w:p>
        </w:tc>
        <w:tc>
          <w:tcPr>
            <w:tcW w:w="1276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softHyphen/>
              <w:t>тельность времени, необхо</w:t>
            </w:r>
            <w:r>
              <w:rPr>
                <w:sz w:val="22"/>
                <w:szCs w:val="22"/>
              </w:rPr>
              <w:softHyphen/>
              <w:t>димого для заверше</w:t>
            </w:r>
            <w:r>
              <w:rPr>
                <w:sz w:val="22"/>
                <w:szCs w:val="22"/>
              </w:rPr>
              <w:softHyphen/>
              <w:t>ния техно</w:t>
            </w:r>
            <w:r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softHyphen/>
              <w:t>гичес</w:t>
            </w:r>
            <w:r>
              <w:rPr>
                <w:sz w:val="22"/>
                <w:szCs w:val="22"/>
              </w:rPr>
              <w:softHyphen/>
              <w:t>кого процесса, цикла произ</w:t>
            </w:r>
            <w:r>
              <w:rPr>
                <w:sz w:val="22"/>
                <w:szCs w:val="22"/>
              </w:rPr>
              <w:softHyphen/>
              <w:t>вод</w:t>
            </w:r>
            <w:r>
              <w:rPr>
                <w:sz w:val="22"/>
                <w:szCs w:val="22"/>
              </w:rPr>
              <w:softHyphen/>
              <w:t>ства, час.</w:t>
            </w:r>
          </w:p>
        </w:tc>
        <w:tc>
          <w:tcPr>
            <w:tcW w:w="1702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  <w:r>
              <w:rPr>
                <w:sz w:val="22"/>
                <w:szCs w:val="22"/>
                <w:lang w:val="en-US"/>
              </w:rPr>
              <w:softHyphen/>
            </w:r>
            <w:r>
              <w:rPr>
                <w:sz w:val="22"/>
                <w:szCs w:val="22"/>
              </w:rPr>
              <w:t>мое время пере</w:t>
            </w:r>
            <w:r>
              <w:rPr>
                <w:sz w:val="22"/>
                <w:szCs w:val="22"/>
                <w:lang w:val="en-US"/>
              </w:rPr>
              <w:softHyphen/>
            </w:r>
            <w:r>
              <w:rPr>
                <w:sz w:val="22"/>
                <w:szCs w:val="22"/>
              </w:rPr>
              <w:t>рыва электро</w:t>
            </w:r>
            <w:r>
              <w:rPr>
                <w:sz w:val="22"/>
                <w:szCs w:val="22"/>
                <w:lang w:val="en-US"/>
              </w:rPr>
              <w:softHyphen/>
            </w:r>
            <w:r>
              <w:rPr>
                <w:sz w:val="22"/>
                <w:szCs w:val="22"/>
              </w:rPr>
              <w:t>снаб</w:t>
            </w:r>
            <w:r>
              <w:rPr>
                <w:sz w:val="22"/>
                <w:szCs w:val="22"/>
              </w:rPr>
              <w:softHyphen/>
              <w:t>жения энерго</w:t>
            </w:r>
            <w:r>
              <w:rPr>
                <w:sz w:val="22"/>
                <w:szCs w:val="22"/>
                <w:lang w:val="en-US"/>
              </w:rPr>
              <w:softHyphen/>
            </w:r>
            <w:r>
              <w:rPr>
                <w:sz w:val="22"/>
                <w:szCs w:val="22"/>
              </w:rPr>
              <w:t>принима</w:t>
            </w:r>
            <w:r>
              <w:rPr>
                <w:sz w:val="22"/>
                <w:szCs w:val="22"/>
              </w:rPr>
              <w:softHyphen/>
              <w:t>ющего устройства, подклю</w:t>
            </w:r>
            <w:r>
              <w:rPr>
                <w:sz w:val="22"/>
                <w:szCs w:val="22"/>
              </w:rPr>
              <w:softHyphen/>
              <w:t>чен</w:t>
            </w:r>
            <w:r>
              <w:rPr>
                <w:sz w:val="22"/>
                <w:szCs w:val="22"/>
              </w:rPr>
              <w:softHyphen/>
              <w:t>ного к токо</w:t>
            </w:r>
            <w:r>
              <w:rPr>
                <w:sz w:val="22"/>
                <w:szCs w:val="22"/>
              </w:rPr>
              <w:softHyphen/>
              <w:t>прием</w:t>
            </w:r>
            <w:r>
              <w:rPr>
                <w:sz w:val="22"/>
                <w:szCs w:val="22"/>
              </w:rPr>
              <w:softHyphen/>
              <w:t>никам техно</w:t>
            </w:r>
            <w:r>
              <w:rPr>
                <w:sz w:val="22"/>
                <w:szCs w:val="22"/>
              </w:rPr>
              <w:softHyphen/>
              <w:t>логи</w:t>
            </w:r>
            <w:r>
              <w:rPr>
                <w:sz w:val="22"/>
                <w:szCs w:val="22"/>
              </w:rPr>
              <w:softHyphen/>
              <w:t>ческой брони,</w:t>
            </w:r>
            <w:r>
              <w:rPr>
                <w:sz w:val="22"/>
                <w:szCs w:val="22"/>
              </w:rPr>
              <w:br/>
              <w:t>час.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2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BC41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0000" w:rsidRDefault="00BC41F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000000" w:rsidRDefault="00BC41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0000" w:rsidRDefault="00BC41F8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00000" w:rsidRDefault="00BC41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BC41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0000" w:rsidRDefault="00BC41F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000000" w:rsidRDefault="00BC41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0000" w:rsidRDefault="00BC41F8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00000" w:rsidRDefault="00BC41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000000" w:rsidRDefault="00BC41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BC41F8"/>
    <w:p w:rsidR="00000000" w:rsidRDefault="00BC41F8">
      <w:pPr>
        <w:spacing w:before="36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Част</w:t>
      </w:r>
      <w:r>
        <w:rPr>
          <w:sz w:val="24"/>
          <w:szCs w:val="24"/>
        </w:rPr>
        <w:t>ь 2</w:t>
      </w:r>
    </w:p>
    <w:p w:rsidR="00000000" w:rsidRDefault="00BC41F8">
      <w:pPr>
        <w:jc w:val="both"/>
        <w:rPr>
          <w:sz w:val="24"/>
          <w:szCs w:val="24"/>
        </w:rPr>
      </w:pPr>
      <w:r>
        <w:rPr>
          <w:sz w:val="24"/>
          <w:szCs w:val="24"/>
        </w:rPr>
        <w:t>1. 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835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питающие линии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BC41F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552"/>
        <w:gridCol w:w="6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Питающие линии 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могут быть отключены на время, указанное в графе</w:t>
            </w:r>
            <w:r>
              <w:rPr>
                <w:sz w:val="24"/>
                <w:szCs w:val="24"/>
              </w:rPr>
              <w:t xml:space="preserve"> 12.</w:t>
            </w:r>
          </w:p>
        </w:tc>
      </w:tr>
    </w:tbl>
    <w:p w:rsidR="00000000" w:rsidRDefault="00BC41F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552"/>
        <w:gridCol w:w="7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Питающие линии 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могут быть отключены по истечении времени, указанного в графе 11.</w:t>
            </w:r>
          </w:p>
        </w:tc>
      </w:tr>
    </w:tbl>
    <w:p w:rsidR="00000000" w:rsidRDefault="00BC41F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0"/>
        <w:gridCol w:w="1134"/>
        <w:gridCol w:w="851"/>
        <w:gridCol w:w="1134"/>
        <w:gridCol w:w="8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 требованию сетевой организации потребитель немедленно отключает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точек.</w:t>
            </w:r>
          </w:p>
        </w:tc>
      </w:tr>
    </w:tbl>
    <w:p w:rsidR="00000000" w:rsidRDefault="00BC41F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1134"/>
        <w:gridCol w:w="1361"/>
        <w:gridCol w:w="1134"/>
        <w:gridCol w:w="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Использование имеющихся в работе устройств автоматического включения </w:t>
            </w:r>
            <w:r>
              <w:rPr>
                <w:sz w:val="24"/>
                <w:szCs w:val="24"/>
              </w:rPr>
              <w:t>резерва: разрешено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запрещено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4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BC41F8">
      <w:pPr>
        <w:spacing w:after="240"/>
        <w:rPr>
          <w:sz w:val="24"/>
          <w:szCs w:val="24"/>
        </w:rPr>
      </w:pPr>
    </w:p>
    <w:sectPr w:rsidR="00000000">
      <w:pgSz w:w="16840" w:h="11907" w:orient="landscape" w:code="9"/>
      <w:pgMar w:top="1134" w:right="851" w:bottom="851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41F8">
      <w:r>
        <w:separator/>
      </w:r>
    </w:p>
  </w:endnote>
  <w:endnote w:type="continuationSeparator" w:id="0">
    <w:p w:rsidR="00000000" w:rsidRDefault="00B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41F8">
      <w:r>
        <w:separator/>
      </w:r>
    </w:p>
  </w:footnote>
  <w:footnote w:type="continuationSeparator" w:id="0">
    <w:p w:rsidR="00000000" w:rsidRDefault="00BC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C41F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1F8"/>
    <w:rsid w:val="00B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5EAEFC-4029-451C-A472-33D13033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Сгоннова Яна Анатольевна</cp:lastModifiedBy>
  <cp:revision>2</cp:revision>
  <cp:lastPrinted>2013-08-21T08:09:00Z</cp:lastPrinted>
  <dcterms:created xsi:type="dcterms:W3CDTF">2022-02-11T04:01:00Z</dcterms:created>
  <dcterms:modified xsi:type="dcterms:W3CDTF">2022-02-11T04:01:00Z</dcterms:modified>
</cp:coreProperties>
</file>